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F0113"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A0628E">
        <w:t>54019</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5A816E6F" w14:textId="77777777" w:rsidTr="00E710D3">
        <w:trPr>
          <w:trHeight w:val="576"/>
        </w:trPr>
        <w:tc>
          <w:tcPr>
            <w:tcW w:w="4826" w:type="dxa"/>
          </w:tcPr>
          <w:bookmarkStart w:id="2" w:name="DocumentStyle"/>
          <w:p w14:paraId="7CD8EF12" w14:textId="77777777" w:rsidR="00E710D3" w:rsidRPr="00E710D3" w:rsidRDefault="00B577B0" w:rsidP="00912358">
            <w:pPr>
              <w:spacing w:after="0" w:line="240" w:lineRule="auto"/>
              <w:ind w:firstLine="0"/>
              <w:jc w:val="left"/>
              <w:rPr>
                <w:b/>
                <w:szCs w:val="20"/>
              </w:rPr>
            </w:pPr>
            <w:sdt>
              <w:sdtPr>
                <w:rPr>
                  <w:b/>
                  <w:caps/>
                  <w:szCs w:val="20"/>
                </w:rPr>
                <w:alias w:val="Case Style"/>
                <w:tag w:val="CS"/>
                <w:id w:val="-920102863"/>
                <w:placeholder>
                  <w:docPart w:val="A5C7D6E5481D431E902ED8BCEAD0E8EC"/>
                </w:placeholder>
                <w15:appearance w15:val="hidden"/>
              </w:sdtPr>
              <w:sdtEndPr/>
              <w:sdtContent>
                <w:r w:rsidR="00A0628E">
                  <w:rPr>
                    <w:b/>
                    <w:caps/>
                    <w:szCs w:val="20"/>
                  </w:rPr>
                  <w:t>APPLICATION OF CSWR-TEXAS UTILITY OPERATING COMPANY, LLC AND VILLE D'ALSACE WATER SUPPLY, LLC FOR SALE, TRANSFER, OR MERGER OF FACILITIES AND CERTIFICATE RIGHTS IN MEDINA COUNTY</w:t>
                </w:r>
              </w:sdtContent>
            </w:sdt>
            <w:bookmarkEnd w:id="2"/>
            <w:r w:rsidR="00912358">
              <w:rPr>
                <w:b/>
                <w:caps/>
                <w:szCs w:val="20"/>
              </w:rPr>
              <w:t xml:space="preserve"> </w:t>
            </w:r>
          </w:p>
        </w:tc>
        <w:tc>
          <w:tcPr>
            <w:tcW w:w="336" w:type="dxa"/>
            <w:noWrap/>
          </w:tcPr>
          <w:p w14:paraId="29587615" w14:textId="77777777" w:rsidR="00A0628E" w:rsidRDefault="00A0628E" w:rsidP="008647EB">
            <w:pPr>
              <w:spacing w:after="0" w:line="240" w:lineRule="auto"/>
              <w:ind w:firstLine="0"/>
              <w:rPr>
                <w:b/>
                <w:szCs w:val="20"/>
              </w:rPr>
            </w:pPr>
            <w:r>
              <w:rPr>
                <w:b/>
                <w:szCs w:val="20"/>
              </w:rPr>
              <w:t>§</w:t>
            </w:r>
          </w:p>
          <w:p w14:paraId="41B6D6E0" w14:textId="77777777" w:rsidR="00A0628E" w:rsidRDefault="00A0628E" w:rsidP="008647EB">
            <w:pPr>
              <w:spacing w:after="0" w:line="240" w:lineRule="auto"/>
              <w:ind w:firstLine="0"/>
              <w:rPr>
                <w:b/>
                <w:szCs w:val="20"/>
              </w:rPr>
            </w:pPr>
            <w:r>
              <w:rPr>
                <w:b/>
                <w:szCs w:val="20"/>
              </w:rPr>
              <w:t>§</w:t>
            </w:r>
          </w:p>
          <w:p w14:paraId="1E5E21A6" w14:textId="77777777" w:rsidR="00A0628E" w:rsidRDefault="00A0628E" w:rsidP="008647EB">
            <w:pPr>
              <w:spacing w:after="0" w:line="240" w:lineRule="auto"/>
              <w:ind w:firstLine="0"/>
              <w:rPr>
                <w:b/>
                <w:szCs w:val="20"/>
              </w:rPr>
            </w:pPr>
            <w:r>
              <w:rPr>
                <w:b/>
                <w:szCs w:val="20"/>
              </w:rPr>
              <w:t>§</w:t>
            </w:r>
          </w:p>
          <w:p w14:paraId="1C3DA1B7" w14:textId="77777777" w:rsidR="00A0628E" w:rsidRDefault="00A0628E" w:rsidP="008647EB">
            <w:pPr>
              <w:spacing w:after="0" w:line="240" w:lineRule="auto"/>
              <w:ind w:firstLine="0"/>
              <w:rPr>
                <w:b/>
                <w:szCs w:val="20"/>
              </w:rPr>
            </w:pPr>
            <w:r>
              <w:rPr>
                <w:b/>
                <w:szCs w:val="20"/>
              </w:rPr>
              <w:t>§</w:t>
            </w:r>
          </w:p>
          <w:p w14:paraId="0371BD1B" w14:textId="77777777" w:rsidR="00A0628E" w:rsidRDefault="00A0628E" w:rsidP="008647EB">
            <w:pPr>
              <w:spacing w:after="0" w:line="240" w:lineRule="auto"/>
              <w:ind w:firstLine="0"/>
              <w:rPr>
                <w:b/>
                <w:szCs w:val="20"/>
              </w:rPr>
            </w:pPr>
            <w:r>
              <w:rPr>
                <w:b/>
                <w:szCs w:val="20"/>
              </w:rPr>
              <w:t>§</w:t>
            </w:r>
          </w:p>
          <w:p w14:paraId="3D705D32" w14:textId="77777777" w:rsidR="00A0628E" w:rsidRDefault="00A0628E" w:rsidP="008647EB">
            <w:pPr>
              <w:spacing w:after="0" w:line="240" w:lineRule="auto"/>
              <w:ind w:firstLine="0"/>
              <w:rPr>
                <w:b/>
                <w:szCs w:val="20"/>
              </w:rPr>
            </w:pPr>
            <w:r>
              <w:rPr>
                <w:b/>
                <w:szCs w:val="20"/>
              </w:rPr>
              <w:t>§</w:t>
            </w:r>
          </w:p>
          <w:p w14:paraId="1AB41D56" w14:textId="77777777" w:rsidR="00DA790F" w:rsidRPr="008647EB" w:rsidRDefault="00A0628E" w:rsidP="008647EB">
            <w:pPr>
              <w:spacing w:after="0" w:line="240" w:lineRule="auto"/>
              <w:ind w:firstLine="0"/>
              <w:rPr>
                <w:b/>
                <w:szCs w:val="20"/>
              </w:rPr>
            </w:pPr>
            <w:r>
              <w:rPr>
                <w:b/>
                <w:szCs w:val="20"/>
              </w:rPr>
              <w:t>§</w:t>
            </w:r>
          </w:p>
        </w:tc>
        <w:tc>
          <w:tcPr>
            <w:tcW w:w="4198" w:type="dxa"/>
          </w:tcPr>
          <w:p w14:paraId="0AD61B60"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52E4EF04"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33B24EAF"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32767084" w14:textId="77777777" w:rsidR="00DA790F" w:rsidRPr="008647EB" w:rsidRDefault="00DA790F" w:rsidP="008647EB">
      <w:pPr>
        <w:spacing w:after="0" w:line="240" w:lineRule="auto"/>
        <w:ind w:firstLine="0"/>
        <w:jc w:val="center"/>
        <w:rPr>
          <w:b/>
          <w:caps/>
        </w:rPr>
      </w:pPr>
    </w:p>
    <w:p w14:paraId="04C749C7" w14:textId="7C5228DA" w:rsidR="00DA790F" w:rsidRPr="008647EB" w:rsidRDefault="006A7126" w:rsidP="008C04AB">
      <w:pPr>
        <w:pStyle w:val="CaseCaption"/>
      </w:pPr>
      <w:r>
        <w:t>COMMISSION STAFF’S RECOMMENDATION ON CLOSING DOCUMENTS</w:t>
      </w:r>
      <w:r w:rsidR="00BB6E21">
        <w:t>, recommnedation on</w:t>
      </w:r>
      <w:r>
        <w:t xml:space="preserve"> SUPPLEMENTAL INFORMATION</w:t>
      </w:r>
      <w:r w:rsidR="00BB6E21">
        <w:t>,</w:t>
      </w:r>
      <w:r>
        <w:t xml:space="preserve"> PROPOSED PROCEDURAL SCHEDULE</w:t>
      </w:r>
      <w:r w:rsidR="00BB6E21">
        <w:t>, and motion to admit evidence</w:t>
      </w:r>
    </w:p>
    <w:p w14:paraId="6C661841" w14:textId="77777777" w:rsidR="007462E5" w:rsidRDefault="007462E5" w:rsidP="007462E5">
      <w:pPr>
        <w:pStyle w:val="Heading1"/>
        <w:tabs>
          <w:tab w:val="clear" w:pos="1440"/>
        </w:tabs>
        <w:ind w:left="0" w:right="0"/>
      </w:pPr>
      <w:r>
        <w:t>INTRODUCTION</w:t>
      </w:r>
    </w:p>
    <w:p w14:paraId="6CE7D2F5" w14:textId="250D2FDB" w:rsidR="006A7126" w:rsidRDefault="006A7126" w:rsidP="00F54DF7">
      <w:pPr>
        <w:pStyle w:val="Paragraph"/>
        <w:rPr>
          <w:iCs/>
        </w:rPr>
      </w:pPr>
      <w:r>
        <w:rPr>
          <w:iCs/>
        </w:rPr>
        <w:t>On A</w:t>
      </w:r>
      <w:r w:rsidRPr="00D46AB0">
        <w:rPr>
          <w:color w:val="000000"/>
          <w:szCs w:val="22"/>
        </w:rPr>
        <w:t xml:space="preserve">ugust 31, 2022, CSWR-Texas Utility Operating Company, LLC (CSWR-Texas) and Ville D’Alsace Water Supply, LLC </w:t>
      </w:r>
      <w:r w:rsidR="00CD49F4">
        <w:rPr>
          <w:color w:val="000000"/>
          <w:szCs w:val="22"/>
        </w:rPr>
        <w:t xml:space="preserve">(Ville D’Alsace) </w:t>
      </w:r>
      <w:r w:rsidRPr="00D46AB0">
        <w:rPr>
          <w:color w:val="000000"/>
          <w:szCs w:val="22"/>
        </w:rPr>
        <w:t>(collectively, Applicants) filed an application for approval of the sale, transfer, or merger (STM) of facilities and certificate of convenience and necessity (CCN) rights in Medina County under the provisions of Texas Water Code § 13.301 and 16 Texas Administrative Code (TAC) § 24.239. CSWR-Texas filed supplemental information on September 7, September 15, October 5, and December 2, 2022.</w:t>
      </w:r>
    </w:p>
    <w:p w14:paraId="23BD61F6" w14:textId="4757E5E3" w:rsidR="00F54DF7" w:rsidRPr="004B6D44" w:rsidRDefault="00F54DF7" w:rsidP="00F54DF7">
      <w:pPr>
        <w:pStyle w:val="Paragraph"/>
        <w:rPr>
          <w:iCs/>
        </w:rPr>
      </w:pPr>
      <w:r>
        <w:rPr>
          <w:iCs/>
        </w:rPr>
        <w:t>On</w:t>
      </w:r>
      <w:r w:rsidR="006A7126">
        <w:rPr>
          <w:iCs/>
        </w:rPr>
        <w:t xml:space="preserve"> July 18, 2023</w:t>
      </w:r>
      <w:r w:rsidR="007E3A22">
        <w:rPr>
          <w:iCs/>
        </w:rPr>
        <w:t xml:space="preserve">, </w:t>
      </w:r>
      <w:r>
        <w:rPr>
          <w:iCs/>
        </w:rPr>
        <w:t xml:space="preserve">the administrative law judge (ALJ) filed Order No. </w:t>
      </w:r>
      <w:r w:rsidR="006A7126">
        <w:rPr>
          <w:iCs/>
        </w:rPr>
        <w:t>10</w:t>
      </w:r>
      <w:r>
        <w:rPr>
          <w:iCs/>
        </w:rPr>
        <w:t>,</w:t>
      </w:r>
      <w:r w:rsidRPr="00D94E7F">
        <w:t xml:space="preserve"> </w:t>
      </w:r>
      <w:r>
        <w:t xml:space="preserve">directing the Staff (Staff) of the Public Utility Commission of Texas (Commission) to </w:t>
      </w:r>
      <w:r w:rsidR="006A7126" w:rsidRPr="006A7126">
        <w:rPr>
          <w:iCs/>
        </w:rPr>
        <w:t>file a supplemental recommendation on the closing documents, a recommendation on whether the applicants' capital improvement plan satisfies the requirements of the Commission, TWC § 13.244(d)(3), and 16 TAC § 24.233(a)(6), a recommendation on the loan documentation or the request for a good cause exception, a supplemental recommendation on the applicants' supplemented notice, a supplemental recommendation on the supplemental materials</w:t>
      </w:r>
      <w:r w:rsidR="003A5DE7">
        <w:rPr>
          <w:iCs/>
        </w:rPr>
        <w:t xml:space="preserve">; </w:t>
      </w:r>
      <w:r w:rsidR="006A7126" w:rsidRPr="006A7126">
        <w:rPr>
          <w:iCs/>
        </w:rPr>
        <w:t>propose a procedural schedule for continued processing of this docket</w:t>
      </w:r>
      <w:r w:rsidR="003A5DE7">
        <w:rPr>
          <w:iCs/>
        </w:rPr>
        <w:t>;</w:t>
      </w:r>
      <w:r w:rsidR="006A7126" w:rsidRPr="006A7126">
        <w:rPr>
          <w:iCs/>
        </w:rPr>
        <w:t xml:space="preserve"> and move to admit Staff’s recommendation into the record of this proceeding</w:t>
      </w:r>
      <w:r>
        <w:t xml:space="preserve"> by </w:t>
      </w:r>
      <w:r w:rsidR="006A7126">
        <w:t>August 24, 2023</w:t>
      </w:r>
      <w:r>
        <w:t>. Therefore, this pleading is timely filed.</w:t>
      </w:r>
    </w:p>
    <w:p w14:paraId="3363E705" w14:textId="29566F2E" w:rsidR="00FE5A24" w:rsidRDefault="00BB6E21" w:rsidP="00B50F0E">
      <w:pPr>
        <w:pStyle w:val="Heading1"/>
        <w:tabs>
          <w:tab w:val="clear" w:pos="1440"/>
        </w:tabs>
        <w:ind w:left="0" w:right="0"/>
      </w:pPr>
      <w:r>
        <w:t>RECOMMENDATION ON THE SUFFICIENCY OF THE CLOSING DOCUMENTS</w:t>
      </w:r>
      <w:r w:rsidR="00663EE2">
        <w:t xml:space="preserve"> AND REQUEST FOR GOOD CAUSE EXCEPTION</w:t>
      </w:r>
    </w:p>
    <w:p w14:paraId="13A3BD04" w14:textId="266592B1" w:rsidR="00663EE2" w:rsidRDefault="00663EE2" w:rsidP="00663EE2">
      <w:pPr>
        <w:spacing w:after="0"/>
      </w:pPr>
      <w:r>
        <w:t xml:space="preserve">Staff </w:t>
      </w:r>
      <w:r w:rsidRPr="005C3790">
        <w:t>has reviewed the</w:t>
      </w:r>
      <w:r>
        <w:t xml:space="preserve"> closing documents</w:t>
      </w:r>
      <w:r w:rsidRPr="005C3790">
        <w:t xml:space="preserve"> filed by Applicants </w:t>
      </w:r>
      <w:r w:rsidRPr="003326B6">
        <w:t xml:space="preserve">on May </w:t>
      </w:r>
      <w:r w:rsidR="003326B6" w:rsidRPr="003326B6">
        <w:t>10 and July 28,</w:t>
      </w:r>
      <w:r w:rsidRPr="003326B6">
        <w:t xml:space="preserve"> 2023</w:t>
      </w:r>
      <w:r w:rsidR="003326B6">
        <w:t>,</w:t>
      </w:r>
      <w:r>
        <w:t xml:space="preserve"> and recommends that they are sufficient. Based on its review, Staff has determined that the Applicants’ filing meets the requirements of 16 TAC § 24.239(a), which requires the filing of a </w:t>
      </w:r>
      <w:r>
        <w:lastRenderedPageBreak/>
        <w:t>sale, transfer, or merger (STM) application and the provision of public notice at least 120 days before the effective date of a proposed transaction. Under 16 TAC § 24.239(</w:t>
      </w:r>
      <w:proofErr w:type="spellStart"/>
      <w:r>
        <w:t>i</w:t>
      </w:r>
      <w:proofErr w:type="spellEnd"/>
      <w:r>
        <w:t>), the proposed transaction may be completed at the end of the 120-day period of at any time after the transferee receives notice that a hearing will not be required.</w:t>
      </w:r>
    </w:p>
    <w:p w14:paraId="0B96EDD7" w14:textId="39693F4E" w:rsidR="00663EE2" w:rsidRPr="003C1B3B" w:rsidRDefault="00663EE2" w:rsidP="00663EE2">
      <w:pPr>
        <w:spacing w:after="0"/>
      </w:pPr>
      <w:r>
        <w:t xml:space="preserve">Applicants filed notice of the completed transaction on May </w:t>
      </w:r>
      <w:r w:rsidR="00CD49F4">
        <w:t>10</w:t>
      </w:r>
      <w:r>
        <w:t xml:space="preserve">, 2023, which included a bill of sale signed by both the transferor and the transferee and </w:t>
      </w:r>
      <w:r w:rsidRPr="003A6CB9">
        <w:t xml:space="preserve">assigning </w:t>
      </w:r>
      <w:r w:rsidR="00CD49F4">
        <w:t xml:space="preserve">Ville </w:t>
      </w:r>
      <w:proofErr w:type="spellStart"/>
      <w:r w:rsidR="00CD49F4">
        <w:t>D’Alsace’s</w:t>
      </w:r>
      <w:proofErr w:type="spellEnd"/>
      <w:r w:rsidR="00CD49F4">
        <w:t xml:space="preserve"> </w:t>
      </w:r>
      <w:r w:rsidRPr="00EA013C">
        <w:t>water system</w:t>
      </w:r>
      <w:r>
        <w:t xml:space="preserve"> to CSWR-Texas. The effective date of the transaction is listed on the bill of sale as A</w:t>
      </w:r>
      <w:r w:rsidR="00CD49F4">
        <w:t xml:space="preserve">pril </w:t>
      </w:r>
      <w:r w:rsidR="00CD49F4" w:rsidRPr="00CD49F4">
        <w:t>27, 2023</w:t>
      </w:r>
      <w:r w:rsidRPr="00CD49F4">
        <w:t>,</w:t>
      </w:r>
      <w:r>
        <w:t xml:space="preserve"> and the bill of sale was signed by the transferor and transferee on April </w:t>
      </w:r>
      <w:r w:rsidR="00CD49F4">
        <w:t>27</w:t>
      </w:r>
      <w:r>
        <w:t xml:space="preserve">, 2023. Notice was completed </w:t>
      </w:r>
      <w:r w:rsidRPr="00420D55">
        <w:t xml:space="preserve">on </w:t>
      </w:r>
      <w:r w:rsidR="00CD49F4" w:rsidRPr="00420D55">
        <w:t>November 16</w:t>
      </w:r>
      <w:r w:rsidRPr="00420D55">
        <w:t>, 2022</w:t>
      </w:r>
      <w:r>
        <w:t xml:space="preserve">, which is more than 120 days before the bill of sale was signed on April </w:t>
      </w:r>
      <w:r w:rsidR="00CD49F4">
        <w:t>27</w:t>
      </w:r>
      <w:r>
        <w:t>, 2023. Therefore, Staff recommends a finding that Applicants’ closing documents are sufficient and satisfy 16 TAC § 24.239(a), (</w:t>
      </w:r>
      <w:proofErr w:type="spellStart"/>
      <w:r>
        <w:t>i</w:t>
      </w:r>
      <w:proofErr w:type="spellEnd"/>
      <w:r>
        <w:t>), and (</w:t>
      </w:r>
      <w:r>
        <w:rPr>
          <w:i/>
          <w:iCs/>
        </w:rPr>
        <w:t>l</w:t>
      </w:r>
      <w:r>
        <w:t>).</w:t>
      </w:r>
    </w:p>
    <w:p w14:paraId="1AA27DB1" w14:textId="173BA1AC" w:rsidR="00F54DF7" w:rsidRPr="00F54DF7" w:rsidRDefault="00663EE2" w:rsidP="00663EE2">
      <w:proofErr w:type="gramStart"/>
      <w:r>
        <w:t>With regard to</w:t>
      </w:r>
      <w:proofErr w:type="gramEnd"/>
      <w:r>
        <w:t xml:space="preserve"> customer deposits, </w:t>
      </w:r>
      <w:r w:rsidRPr="00D80404">
        <w:t xml:space="preserve">the </w:t>
      </w:r>
      <w:r w:rsidR="00D80404" w:rsidRPr="00D80404">
        <w:t>closing documentation filed on May 10, 2023</w:t>
      </w:r>
      <w:r w:rsidR="009261C8">
        <w:t>,</w:t>
      </w:r>
      <w:r w:rsidR="00D80404" w:rsidRPr="00D80404">
        <w:t xml:space="preserve"> contains an affidavit dated </w:t>
      </w:r>
      <w:r w:rsidR="00E307C2">
        <w:t>May 9, 2023,</w:t>
      </w:r>
      <w:r w:rsidR="00D80404" w:rsidRPr="00D80404">
        <w:t xml:space="preserve"> and signed by </w:t>
      </w:r>
      <w:r w:rsidR="00E307C2">
        <w:t>Richard Wesley Russell</w:t>
      </w:r>
      <w:r w:rsidR="00D80404" w:rsidRPr="00D80404">
        <w:t xml:space="preserve">, </w:t>
      </w:r>
      <w:r w:rsidR="00E307C2">
        <w:t>Managing Member of Ville D’Alsace</w:t>
      </w:r>
      <w:r w:rsidR="00D80404" w:rsidRPr="00D80404">
        <w:t>, attesting that all customer deposits were returned or refunded to customers.</w:t>
      </w:r>
      <w:r w:rsidRPr="00D80404">
        <w:t xml:space="preserve"> </w:t>
      </w:r>
      <w:r w:rsidR="00E307C2">
        <w:t xml:space="preserve">CSWR-Texas further states that the Ville D’Alsace did not place the customer deposits in an interest-bearing account so no interest accrued on the deposits, and the customer deposits were returned </w:t>
      </w:r>
      <w:r w:rsidR="004E4717">
        <w:t xml:space="preserve">in full </w:t>
      </w:r>
      <w:r w:rsidR="00E307C2">
        <w:t>without interest.</w:t>
      </w:r>
      <w:r w:rsidR="00E307C2">
        <w:rPr>
          <w:rStyle w:val="FootnoteReference"/>
        </w:rPr>
        <w:footnoteReference w:id="2"/>
      </w:r>
      <w:r w:rsidR="00E307C2">
        <w:t xml:space="preserve"> Staff therefore recommends </w:t>
      </w:r>
      <w:r w:rsidR="004E4717">
        <w:t>that the closing documents are sufficient and comply with 16 TAC § 24.239.</w:t>
      </w:r>
    </w:p>
    <w:p w14:paraId="66BC9EBA" w14:textId="1BB83DAA" w:rsidR="00F54DF7" w:rsidRDefault="00BB6E21" w:rsidP="00B50F0E">
      <w:pPr>
        <w:pStyle w:val="Heading1"/>
        <w:tabs>
          <w:tab w:val="clear" w:pos="1440"/>
        </w:tabs>
        <w:ind w:left="0" w:right="0"/>
      </w:pPr>
      <w:r>
        <w:t>RECOMMENDATION ON LOAN DOCUMENTATION</w:t>
      </w:r>
    </w:p>
    <w:p w14:paraId="6D2244F2" w14:textId="20BFF6F8" w:rsidR="00F54DF7" w:rsidRPr="00FE5A24" w:rsidRDefault="00663EE2" w:rsidP="00F54DF7">
      <w:pPr>
        <w:pStyle w:val="Paragraph"/>
      </w:pPr>
      <w:r>
        <w:t xml:space="preserve">Staff has reviewed the loan documentation filed on CSWR-Texas </w:t>
      </w:r>
      <w:proofErr w:type="gramStart"/>
      <w:r>
        <w:t>and,</w:t>
      </w:r>
      <w:proofErr w:type="gramEnd"/>
      <w:r>
        <w:t xml:space="preserve"> as supported by the memorandum of Fred Bednarski, Rate Regulation Division, recommends that the loan documentation be deemed sufficient. If the ALJ finds that CSWR-Texas’s financial information does not meet the requirements</w:t>
      </w:r>
      <w:r w:rsidR="0029354A">
        <w:t xml:space="preserve"> of 16 TAC § 24.11(e)(5)(A)</w:t>
      </w:r>
      <w:r>
        <w:t>, Staff recommends that the ALJ grant a good cause exception</w:t>
      </w:r>
      <w:r w:rsidR="0029354A">
        <w:t>.</w:t>
      </w:r>
    </w:p>
    <w:p w14:paraId="49848EAA" w14:textId="4E24DEF5" w:rsidR="00663EE2" w:rsidRDefault="00BB6E21" w:rsidP="00663EE2">
      <w:pPr>
        <w:pStyle w:val="Heading1"/>
        <w:tabs>
          <w:tab w:val="clear" w:pos="1440"/>
        </w:tabs>
        <w:ind w:left="0" w:right="0"/>
      </w:pPr>
      <w:r>
        <w:t>SUPPLEMENTAL RECOMMENDATION ON SUPPLEMENTED NOTICE</w:t>
      </w:r>
    </w:p>
    <w:p w14:paraId="778A33C5" w14:textId="43EB37B3" w:rsidR="00663EE2" w:rsidRPr="00663EE2" w:rsidRDefault="00663EE2" w:rsidP="00663EE2">
      <w:pPr>
        <w:pStyle w:val="Paragraph"/>
      </w:pPr>
      <w:r>
        <w:t xml:space="preserve">Staff </w:t>
      </w:r>
      <w:r w:rsidR="00D73796">
        <w:t xml:space="preserve">has reviewed the supplemental proof of notice provided by CSWR-Texas and recommends that it is sufficient. Specifically, CSWR-Texas provided an affidavit of notice dated June 27, 2023, and signed by Aaron Silas, Director of Regulatory Operations of CSWR-Texas, </w:t>
      </w:r>
      <w:r w:rsidR="00D73796">
        <w:lastRenderedPageBreak/>
        <w:t xml:space="preserve">attesting that all owners of tracts of land of 25 acres or more and wholly or partially include in the area proposed to be certified received individual notice of the </w:t>
      </w:r>
      <w:r w:rsidR="00D73796" w:rsidRPr="00D73796">
        <w:t>application by first-class mail.</w:t>
      </w:r>
      <w:r w:rsidR="00D73796">
        <w:t xml:space="preserve"> Therefore, Staff recommends that the supplemental notice provided by CSWR-Texas be deemed sufficient for further processing of this matter.</w:t>
      </w:r>
    </w:p>
    <w:p w14:paraId="46A2D0B9" w14:textId="7A68E441" w:rsidR="00FD5BFA" w:rsidRDefault="00BB6E21" w:rsidP="00FD5BFA">
      <w:pPr>
        <w:pStyle w:val="Heading1"/>
        <w:tabs>
          <w:tab w:val="clear" w:pos="1440"/>
        </w:tabs>
        <w:ind w:left="0" w:right="0"/>
      </w:pPr>
      <w:r>
        <w:t>SUPPLEMENTAL RECOMMENDATION ON THE SUPPLEMENTAL MATERIAL</w:t>
      </w:r>
      <w:r w:rsidR="00FD5BFA">
        <w:t>S</w:t>
      </w:r>
    </w:p>
    <w:p w14:paraId="2509895A" w14:textId="627E2BE8" w:rsidR="00FD5BFA" w:rsidRPr="00FD5BFA" w:rsidRDefault="00FD5BFA" w:rsidP="00FD5BFA">
      <w:pPr>
        <w:pStyle w:val="Paragraph"/>
      </w:pPr>
      <w:r>
        <w:t>Staff has reviewed CSWR-Texas’s proposed capital commitments to Ville D’Alsace, and as, as supported by the memorandum of Patricia Garcia, Infrastructure Division, recommends that CSWR-Texas be granted a good cause exception for its capital improvement plan. Specifically, CSWR-Texas’s proposed capital improvements are expected to exceed $100,000; however, CSWR-Texas states that they will not know the full extent to the improvements necessary until after the sale has been approved, and the systems are in their possession. Therefore, Staff recommends that the ALJ grant CSWR-Texas a good cause exception to the capital improvements plan.</w:t>
      </w:r>
    </w:p>
    <w:p w14:paraId="56BBF006" w14:textId="297D4D62" w:rsidR="00FE5A24" w:rsidRDefault="00B50F0E" w:rsidP="00B50F0E">
      <w:pPr>
        <w:pStyle w:val="Heading1"/>
        <w:tabs>
          <w:tab w:val="clear" w:pos="1440"/>
        </w:tabs>
        <w:ind w:left="0" w:right="0"/>
      </w:pPr>
      <w:r>
        <w:t>PROCEDURAL SCHEDULE</w:t>
      </w:r>
    </w:p>
    <w:p w14:paraId="45B1EE9C" w14:textId="04DCDC40" w:rsidR="006A7126" w:rsidRPr="00E307C2" w:rsidRDefault="006A7126" w:rsidP="006A7126">
      <w:pPr>
        <w:pStyle w:val="Paragraph"/>
      </w:pPr>
      <w:r>
        <w:t>Staff recommends that t</w:t>
      </w:r>
      <w:r w:rsidRPr="00E307C2">
        <w:t xml:space="preserve">he </w:t>
      </w:r>
      <w:r w:rsidR="00E307C2">
        <w:t>supplemental information provided be found sufficient</w:t>
      </w:r>
      <w:r w:rsidRPr="00E307C2">
        <w:t>. Therefore, Staff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6A7126" w:rsidRPr="00E307C2" w14:paraId="136FD15E" w14:textId="77777777" w:rsidTr="006D3BA0">
        <w:trPr>
          <w:trHeight w:val="260"/>
        </w:trPr>
        <w:tc>
          <w:tcPr>
            <w:tcW w:w="5524" w:type="dxa"/>
            <w:shd w:val="clear" w:color="auto" w:fill="auto"/>
            <w:vAlign w:val="center"/>
          </w:tcPr>
          <w:p w14:paraId="561BC1E5" w14:textId="77777777" w:rsidR="006A7126" w:rsidRPr="00E307C2" w:rsidRDefault="006A7126" w:rsidP="006D3BA0">
            <w:pPr>
              <w:keepNext/>
              <w:spacing w:after="0"/>
              <w:ind w:firstLine="0"/>
              <w:jc w:val="center"/>
              <w:rPr>
                <w:b/>
                <w:szCs w:val="20"/>
              </w:rPr>
            </w:pPr>
            <w:r w:rsidRPr="00E307C2">
              <w:rPr>
                <w:b/>
                <w:szCs w:val="20"/>
              </w:rPr>
              <w:t>Event</w:t>
            </w:r>
          </w:p>
        </w:tc>
        <w:tc>
          <w:tcPr>
            <w:tcW w:w="3826" w:type="dxa"/>
            <w:shd w:val="clear" w:color="auto" w:fill="auto"/>
          </w:tcPr>
          <w:p w14:paraId="01EA4543" w14:textId="77777777" w:rsidR="006A7126" w:rsidRPr="00E307C2" w:rsidRDefault="006A7126" w:rsidP="006D3BA0">
            <w:pPr>
              <w:keepNext/>
              <w:spacing w:after="0"/>
              <w:ind w:firstLine="0"/>
              <w:jc w:val="center"/>
              <w:rPr>
                <w:b/>
                <w:szCs w:val="20"/>
              </w:rPr>
            </w:pPr>
            <w:r w:rsidRPr="00E307C2">
              <w:rPr>
                <w:b/>
                <w:szCs w:val="20"/>
              </w:rPr>
              <w:t>Date</w:t>
            </w:r>
          </w:p>
        </w:tc>
      </w:tr>
      <w:tr w:rsidR="006A7126" w:rsidRPr="00E307C2" w14:paraId="46C7ACE0" w14:textId="77777777" w:rsidTr="006D3BA0">
        <w:trPr>
          <w:trHeight w:val="121"/>
        </w:trPr>
        <w:tc>
          <w:tcPr>
            <w:tcW w:w="5524" w:type="dxa"/>
            <w:shd w:val="clear" w:color="auto" w:fill="auto"/>
            <w:vAlign w:val="center"/>
          </w:tcPr>
          <w:p w14:paraId="43BFB534" w14:textId="77777777" w:rsidR="006A7126" w:rsidRPr="00E307C2" w:rsidRDefault="006A7126" w:rsidP="006D3BA0">
            <w:pPr>
              <w:autoSpaceDE w:val="0"/>
              <w:autoSpaceDN w:val="0"/>
              <w:adjustRightInd w:val="0"/>
              <w:spacing w:after="0" w:line="240" w:lineRule="auto"/>
              <w:ind w:firstLine="0"/>
              <w:jc w:val="left"/>
            </w:pPr>
            <w:r w:rsidRPr="00E307C2">
              <w:rPr>
                <w:rFonts w:eastAsia="Calibri"/>
              </w:rPr>
              <w:t>Deadline for Staff to provide final maps, certificates, and tariffs (if applicable), to the Applicants for review and consent</w:t>
            </w:r>
          </w:p>
        </w:tc>
        <w:tc>
          <w:tcPr>
            <w:tcW w:w="3826" w:type="dxa"/>
            <w:shd w:val="clear" w:color="auto" w:fill="auto"/>
            <w:vAlign w:val="center"/>
          </w:tcPr>
          <w:p w14:paraId="2C976342" w14:textId="04F1248C" w:rsidR="006A7126" w:rsidRPr="00E307C2" w:rsidRDefault="00520912" w:rsidP="006D3BA0">
            <w:pPr>
              <w:keepNext/>
              <w:spacing w:after="0" w:line="240" w:lineRule="auto"/>
              <w:ind w:firstLine="0"/>
              <w:jc w:val="center"/>
            </w:pPr>
            <w:r>
              <w:t>August 29, 2023</w:t>
            </w:r>
          </w:p>
        </w:tc>
      </w:tr>
      <w:tr w:rsidR="006A7126" w:rsidRPr="00E307C2" w14:paraId="3400D644" w14:textId="77777777" w:rsidTr="006D3BA0">
        <w:trPr>
          <w:trHeight w:val="611"/>
        </w:trPr>
        <w:tc>
          <w:tcPr>
            <w:tcW w:w="5524" w:type="dxa"/>
            <w:shd w:val="clear" w:color="auto" w:fill="auto"/>
            <w:vAlign w:val="center"/>
          </w:tcPr>
          <w:p w14:paraId="753FD54E" w14:textId="77777777" w:rsidR="006A7126" w:rsidRPr="00E307C2" w:rsidRDefault="006A7126" w:rsidP="006D3BA0">
            <w:pPr>
              <w:autoSpaceDE w:val="0"/>
              <w:autoSpaceDN w:val="0"/>
              <w:adjustRightInd w:val="0"/>
              <w:spacing w:after="0" w:line="240" w:lineRule="auto"/>
              <w:ind w:firstLine="0"/>
              <w:jc w:val="left"/>
              <w:rPr>
                <w:rFonts w:eastAsia="Calibri"/>
              </w:rPr>
            </w:pPr>
            <w:r w:rsidRPr="00E307C2">
              <w:rPr>
                <w:rFonts w:eastAsia="Calibri"/>
              </w:rPr>
              <w:t>Deadline for the Applicants to file signed consent forms with the Commission</w:t>
            </w:r>
          </w:p>
        </w:tc>
        <w:tc>
          <w:tcPr>
            <w:tcW w:w="3826" w:type="dxa"/>
            <w:shd w:val="clear" w:color="auto" w:fill="auto"/>
            <w:vAlign w:val="center"/>
          </w:tcPr>
          <w:p w14:paraId="2CE6F990" w14:textId="4E4F3CF7" w:rsidR="006A7126" w:rsidRPr="00E307C2" w:rsidRDefault="00520912" w:rsidP="006D3BA0">
            <w:pPr>
              <w:keepNext/>
              <w:spacing w:after="0" w:line="240" w:lineRule="auto"/>
              <w:ind w:firstLine="0"/>
              <w:jc w:val="center"/>
            </w:pPr>
            <w:r>
              <w:t>September 6, 2023</w:t>
            </w:r>
          </w:p>
        </w:tc>
      </w:tr>
      <w:tr w:rsidR="006A7126" w:rsidRPr="00D46AB0" w14:paraId="6187407C" w14:textId="77777777" w:rsidTr="006D3BA0">
        <w:trPr>
          <w:trHeight w:val="611"/>
        </w:trPr>
        <w:tc>
          <w:tcPr>
            <w:tcW w:w="5524" w:type="dxa"/>
            <w:shd w:val="clear" w:color="auto" w:fill="auto"/>
            <w:vAlign w:val="center"/>
          </w:tcPr>
          <w:p w14:paraId="1F28B716" w14:textId="77777777" w:rsidR="006A7126" w:rsidRPr="00E307C2" w:rsidRDefault="006A7126" w:rsidP="006D3BA0">
            <w:pPr>
              <w:autoSpaceDE w:val="0"/>
              <w:autoSpaceDN w:val="0"/>
              <w:adjustRightInd w:val="0"/>
              <w:spacing w:after="0" w:line="240" w:lineRule="auto"/>
              <w:ind w:firstLine="0"/>
              <w:jc w:val="left"/>
              <w:rPr>
                <w:rFonts w:eastAsia="Calibri"/>
              </w:rPr>
            </w:pPr>
            <w:r w:rsidRPr="00E307C2">
              <w:rPr>
                <w:rFonts w:eastAsia="Calibri"/>
              </w:rPr>
              <w:t>Deadline for parties to jointly file Proposed Notice of Approval, including findings of fact, conclusions of law, and ordering paragraphs</w:t>
            </w:r>
          </w:p>
        </w:tc>
        <w:tc>
          <w:tcPr>
            <w:tcW w:w="3826" w:type="dxa"/>
            <w:shd w:val="clear" w:color="auto" w:fill="auto"/>
            <w:vAlign w:val="center"/>
          </w:tcPr>
          <w:p w14:paraId="78048C4C" w14:textId="5291A05D" w:rsidR="006A7126" w:rsidRPr="00E307C2" w:rsidRDefault="00520912" w:rsidP="006D3BA0">
            <w:pPr>
              <w:keepNext/>
              <w:spacing w:after="0" w:line="240" w:lineRule="auto"/>
              <w:ind w:firstLine="0"/>
              <w:jc w:val="center"/>
            </w:pPr>
            <w:r>
              <w:t>September 19, 2023</w:t>
            </w:r>
          </w:p>
        </w:tc>
      </w:tr>
    </w:tbl>
    <w:p w14:paraId="02F3F69E" w14:textId="77777777" w:rsidR="00FE5A24" w:rsidRPr="00FE5A24" w:rsidRDefault="00FE5A24" w:rsidP="00FE5A24">
      <w:pPr>
        <w:pStyle w:val="Paragraph"/>
      </w:pPr>
    </w:p>
    <w:p w14:paraId="18E5412D" w14:textId="67B40649" w:rsidR="00BB6E21" w:rsidRDefault="00BB6E21" w:rsidP="00B50F0E">
      <w:pPr>
        <w:pStyle w:val="Heading1"/>
        <w:tabs>
          <w:tab w:val="clear" w:pos="1440"/>
        </w:tabs>
        <w:spacing w:after="120"/>
        <w:ind w:left="0" w:right="0"/>
      </w:pPr>
      <w:r>
        <w:t>MOTION TO ADMIT EVIDENCE</w:t>
      </w:r>
    </w:p>
    <w:p w14:paraId="00621D74" w14:textId="59156C24" w:rsidR="00E307C2" w:rsidRPr="00E307C2" w:rsidRDefault="00E307C2" w:rsidP="00E307C2">
      <w:pPr>
        <w:pStyle w:val="Paragraph"/>
      </w:pPr>
      <w:r>
        <w:t>Staff moves for admission of this pleading and the attached memoranda into the evidentiary record of this proceeding.</w:t>
      </w:r>
    </w:p>
    <w:p w14:paraId="6448B61B" w14:textId="1277CC4C" w:rsidR="00DA790F" w:rsidRDefault="00B50F0E" w:rsidP="00B50F0E">
      <w:pPr>
        <w:pStyle w:val="Heading1"/>
        <w:tabs>
          <w:tab w:val="clear" w:pos="1440"/>
        </w:tabs>
        <w:spacing w:after="120"/>
        <w:ind w:left="0" w:right="0"/>
      </w:pPr>
      <w:r w:rsidRPr="005E0AD2">
        <w:lastRenderedPageBreak/>
        <w:t>CONCLUSION</w:t>
      </w:r>
    </w:p>
    <w:p w14:paraId="547F182E" w14:textId="463850F7" w:rsidR="00DA790F" w:rsidRDefault="006A7126" w:rsidP="008C04AB">
      <w:pPr>
        <w:pStyle w:val="Paragraph"/>
      </w:pPr>
      <w:r>
        <w:t>Fo</w:t>
      </w:r>
      <w:r w:rsidRPr="00E307C2">
        <w:t>r the reasons detailed above, Staff recommends that the closing documents and customer deposit information be found sufficient</w:t>
      </w:r>
      <w:r w:rsidR="00FD5BFA" w:rsidRPr="00E307C2">
        <w:t xml:space="preserve">, </w:t>
      </w:r>
      <w:r w:rsidR="00A574F4">
        <w:t xml:space="preserve">that </w:t>
      </w:r>
      <w:r w:rsidR="00FD5BFA" w:rsidRPr="00E307C2">
        <w:t xml:space="preserve">CSWR-Texas’s loan documentation is sufficient, </w:t>
      </w:r>
      <w:r w:rsidR="00A574F4">
        <w:t xml:space="preserve">that </w:t>
      </w:r>
      <w:r w:rsidR="00FD5BFA" w:rsidRPr="00E307C2">
        <w:t xml:space="preserve">the supplemental notice be deemed sufficient, </w:t>
      </w:r>
      <w:r w:rsidR="00A574F4">
        <w:t xml:space="preserve">that </w:t>
      </w:r>
      <w:r w:rsidR="00FD5BFA" w:rsidRPr="00E307C2">
        <w:t>CSWR</w:t>
      </w:r>
      <w:r w:rsidR="00FD5BFA" w:rsidRPr="00E307C2">
        <w:noBreakHyphen/>
        <w:t xml:space="preserve">Texas be given a good cause exception to the capital improvements plan, </w:t>
      </w:r>
      <w:r w:rsidR="00A574F4">
        <w:t xml:space="preserve">that </w:t>
      </w:r>
      <w:r w:rsidRPr="00E307C2">
        <w:t>the proposed procedural schedule be adopted</w:t>
      </w:r>
      <w:r w:rsidR="00FD5BFA" w:rsidRPr="00E307C2">
        <w:t xml:space="preserve">, and that an order be granted </w:t>
      </w:r>
      <w:r w:rsidR="005D3759">
        <w:t>admitting this pleading and the attached memoranda</w:t>
      </w:r>
      <w:r w:rsidR="00FD5BFA" w:rsidRPr="00E307C2">
        <w:t xml:space="preserve"> into the evidentiary record</w:t>
      </w:r>
      <w:r w:rsidRPr="00E307C2">
        <w:t>. Staff respectfully requests the entry of an order consistent with the foregoing recommendations.</w:t>
      </w:r>
      <w:r w:rsidR="00101DD7" w:rsidRPr="0051021C">
        <w:t xml:space="preserve"> </w:t>
      </w:r>
    </w:p>
    <w:p w14:paraId="2ACF7C8C" w14:textId="77777777" w:rsidR="00B50F0E" w:rsidRPr="00F71D87" w:rsidRDefault="00B50F0E" w:rsidP="00B50F0E">
      <w:pPr>
        <w:spacing w:after="0"/>
        <w:ind w:firstLine="0"/>
        <w:rPr>
          <w:szCs w:val="20"/>
        </w:rPr>
      </w:pPr>
    </w:p>
    <w:p w14:paraId="74E9C68C" w14:textId="3213BE84" w:rsidR="00B50F0E" w:rsidRPr="00F71D87" w:rsidRDefault="00B50F0E" w:rsidP="00B50F0E">
      <w:pPr>
        <w:keepNext/>
        <w:spacing w:after="0"/>
        <w:ind w:firstLine="0"/>
      </w:pPr>
      <w:r w:rsidRPr="00F71D87">
        <w:rPr>
          <w:szCs w:val="20"/>
        </w:rPr>
        <w:t xml:space="preserve">Date: </w:t>
      </w:r>
      <w:r w:rsidRPr="00F71D87">
        <w:fldChar w:fldCharType="begin"/>
      </w:r>
      <w:r w:rsidRPr="00F71D87">
        <w:instrText xml:space="preserve"> DATE \@ "MMMM d, yyyy" </w:instrText>
      </w:r>
      <w:r w:rsidRPr="00F71D87">
        <w:fldChar w:fldCharType="separate"/>
      </w:r>
      <w:r w:rsidR="00772588">
        <w:rPr>
          <w:noProof/>
        </w:rPr>
        <w:t>August 24, 2023</w:t>
      </w:r>
      <w:r w:rsidRPr="00F71D87">
        <w:fldChar w:fldCharType="end"/>
      </w:r>
    </w:p>
    <w:p w14:paraId="4772D1D5" w14:textId="77777777" w:rsidR="00B50F0E" w:rsidRPr="00F71D87" w:rsidRDefault="00B50F0E" w:rsidP="00B50F0E">
      <w:pPr>
        <w:keepNext/>
        <w:spacing w:after="0" w:line="480" w:lineRule="auto"/>
        <w:ind w:left="3600"/>
        <w:rPr>
          <w:szCs w:val="20"/>
        </w:rPr>
      </w:pPr>
      <w:r w:rsidRPr="00F71D87">
        <w:rPr>
          <w:szCs w:val="20"/>
        </w:rPr>
        <w:t>Respectfully submitted,</w:t>
      </w:r>
    </w:p>
    <w:p w14:paraId="1AE8C4A7" w14:textId="77777777" w:rsidR="00B50F0E" w:rsidRPr="00F71D87" w:rsidRDefault="00B50F0E" w:rsidP="00B50F0E">
      <w:pPr>
        <w:keepNext/>
        <w:spacing w:after="0" w:line="240" w:lineRule="auto"/>
        <w:ind w:left="4320" w:firstLine="0"/>
        <w:contextualSpacing/>
        <w:rPr>
          <w:b/>
        </w:rPr>
      </w:pPr>
      <w:r w:rsidRPr="00F71D87">
        <w:rPr>
          <w:b/>
        </w:rPr>
        <w:t xml:space="preserve">PUBLIC UTILITY COMMISSION OF TEXAS </w:t>
      </w:r>
    </w:p>
    <w:p w14:paraId="6ECD0033" w14:textId="77777777" w:rsidR="00B50F0E" w:rsidRPr="00F71D87" w:rsidRDefault="00B50F0E" w:rsidP="00B50F0E">
      <w:pPr>
        <w:keepNext/>
        <w:spacing w:after="0" w:line="240" w:lineRule="auto"/>
        <w:ind w:left="4320" w:firstLine="0"/>
        <w:contextualSpacing/>
        <w:rPr>
          <w:b/>
        </w:rPr>
      </w:pPr>
      <w:r w:rsidRPr="00F71D87">
        <w:rPr>
          <w:b/>
        </w:rPr>
        <w:t>LEGAL DIVISION</w:t>
      </w:r>
    </w:p>
    <w:p w14:paraId="498D93F2" w14:textId="77777777" w:rsidR="00B50F0E" w:rsidRPr="00F71D87" w:rsidRDefault="00B50F0E" w:rsidP="00B50F0E">
      <w:pPr>
        <w:keepNext/>
        <w:spacing w:after="0" w:line="240" w:lineRule="auto"/>
        <w:ind w:firstLine="0"/>
        <w:rPr>
          <w:szCs w:val="20"/>
        </w:rPr>
      </w:pPr>
    </w:p>
    <w:p w14:paraId="577188A6" w14:textId="77777777" w:rsidR="00B50F0E" w:rsidRPr="00F71D87" w:rsidRDefault="007462E5" w:rsidP="00B50F0E">
      <w:pPr>
        <w:keepNext/>
        <w:spacing w:after="0" w:line="240" w:lineRule="auto"/>
        <w:ind w:left="4320" w:firstLine="0"/>
        <w:rPr>
          <w:szCs w:val="20"/>
        </w:rPr>
      </w:pPr>
      <w:r>
        <w:rPr>
          <w:szCs w:val="20"/>
        </w:rPr>
        <w:t>Marisa Lopez Wagley</w:t>
      </w:r>
    </w:p>
    <w:p w14:paraId="39942B10" w14:textId="77777777" w:rsidR="00B50F0E" w:rsidRPr="00F71D87" w:rsidRDefault="00B50F0E" w:rsidP="00B50F0E">
      <w:pPr>
        <w:keepNext/>
        <w:spacing w:after="0" w:line="240" w:lineRule="auto"/>
        <w:ind w:left="4320" w:firstLine="0"/>
        <w:rPr>
          <w:szCs w:val="20"/>
        </w:rPr>
      </w:pPr>
      <w:r w:rsidRPr="00F71D87">
        <w:rPr>
          <w:szCs w:val="20"/>
        </w:rPr>
        <w:t>Division Director</w:t>
      </w:r>
    </w:p>
    <w:p w14:paraId="0444C7BA" w14:textId="77777777" w:rsidR="00B50F0E" w:rsidRPr="00F71D87" w:rsidRDefault="00B50F0E" w:rsidP="00B50F0E">
      <w:pPr>
        <w:keepNext/>
        <w:spacing w:after="0" w:line="240" w:lineRule="auto"/>
        <w:ind w:left="4320" w:firstLine="0"/>
        <w:rPr>
          <w:szCs w:val="20"/>
        </w:rPr>
      </w:pPr>
    </w:p>
    <w:p w14:paraId="5DAEE5E9" w14:textId="32B59A74" w:rsidR="00B50F0E" w:rsidRPr="00F71D87" w:rsidRDefault="00B50F0E" w:rsidP="00B50F0E">
      <w:pPr>
        <w:keepNext/>
        <w:spacing w:after="0" w:line="240" w:lineRule="auto"/>
        <w:ind w:left="4320" w:firstLine="0"/>
        <w:rPr>
          <w:szCs w:val="20"/>
        </w:rPr>
      </w:pPr>
      <w:r>
        <w:rPr>
          <w:szCs w:val="20"/>
        </w:rPr>
        <w:t xml:space="preserve">John </w:t>
      </w:r>
      <w:r w:rsidR="006A7126">
        <w:rPr>
          <w:szCs w:val="20"/>
        </w:rPr>
        <w:t xml:space="preserve">York </w:t>
      </w:r>
      <w:r>
        <w:rPr>
          <w:szCs w:val="20"/>
        </w:rPr>
        <w:t>Harrison</w:t>
      </w:r>
    </w:p>
    <w:p w14:paraId="19B71674" w14:textId="77777777" w:rsidR="00B50F0E" w:rsidRPr="00F71D87" w:rsidRDefault="007462E5" w:rsidP="00B50F0E">
      <w:pPr>
        <w:keepNext/>
        <w:spacing w:after="0" w:line="240" w:lineRule="auto"/>
        <w:ind w:left="4320" w:firstLine="0"/>
        <w:rPr>
          <w:szCs w:val="20"/>
        </w:rPr>
      </w:pPr>
      <w:r>
        <w:rPr>
          <w:szCs w:val="20"/>
        </w:rPr>
        <w:t xml:space="preserve">Senior </w:t>
      </w:r>
      <w:r w:rsidR="00B50F0E" w:rsidRPr="00F71D87">
        <w:rPr>
          <w:szCs w:val="20"/>
        </w:rPr>
        <w:t>Managing Attorney</w:t>
      </w:r>
    </w:p>
    <w:p w14:paraId="1FE52ED1" w14:textId="77777777" w:rsidR="00B50F0E" w:rsidRPr="00F71D87" w:rsidRDefault="00B50F0E" w:rsidP="00B50F0E">
      <w:pPr>
        <w:keepNext/>
        <w:spacing w:after="0" w:line="240" w:lineRule="auto"/>
        <w:ind w:left="4320" w:firstLine="0"/>
        <w:rPr>
          <w:szCs w:val="20"/>
        </w:rPr>
      </w:pPr>
    </w:p>
    <w:p w14:paraId="3641D720" w14:textId="77777777" w:rsidR="00B50F0E" w:rsidRPr="00F71D87" w:rsidRDefault="00B50F0E" w:rsidP="00B50F0E">
      <w:pPr>
        <w:keepNext/>
        <w:overflowPunct w:val="0"/>
        <w:autoSpaceDE w:val="0"/>
        <w:autoSpaceDN w:val="0"/>
        <w:adjustRightInd w:val="0"/>
        <w:spacing w:after="0" w:line="240" w:lineRule="auto"/>
        <w:ind w:left="4320" w:firstLine="0"/>
        <w:jc w:val="left"/>
        <w:textAlignment w:val="baseline"/>
      </w:pPr>
    </w:p>
    <w:p w14:paraId="16E6C03E"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rPr>
          <w:u w:val="single"/>
        </w:rPr>
      </w:pPr>
      <w:r w:rsidRPr="00DF1FE5">
        <w:rPr>
          <w:u w:val="single"/>
        </w:rPr>
        <w:t xml:space="preserve">  </w:t>
      </w:r>
      <w:bookmarkStart w:id="3" w:name="_Hlk86733587"/>
      <w:bookmarkStart w:id="4" w:name="_Hlk111026463"/>
      <w:r w:rsidRPr="00DF1FE5">
        <w:rPr>
          <w:u w:val="single"/>
        </w:rPr>
        <w:t>/s/ Margaux Fox</w:t>
      </w:r>
      <w:r w:rsidRPr="00DF1FE5">
        <w:rPr>
          <w:u w:val="single"/>
        </w:rPr>
        <w:tab/>
      </w:r>
      <w:r w:rsidRPr="00DF1FE5">
        <w:rPr>
          <w:u w:val="single"/>
        </w:rPr>
        <w:tab/>
      </w:r>
    </w:p>
    <w:p w14:paraId="2D69C74B"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Margaux Fox</w:t>
      </w:r>
    </w:p>
    <w:bookmarkEnd w:id="3"/>
    <w:p w14:paraId="4E0F47A3" w14:textId="7BF32F8D" w:rsidR="00DF1FE5" w:rsidRDefault="00DF1FE5" w:rsidP="00DF1FE5">
      <w:pPr>
        <w:keepNext/>
        <w:overflowPunct w:val="0"/>
        <w:autoSpaceDE w:val="0"/>
        <w:autoSpaceDN w:val="0"/>
        <w:adjustRightInd w:val="0"/>
        <w:spacing w:after="0" w:line="240" w:lineRule="auto"/>
        <w:ind w:left="4320" w:firstLine="0"/>
        <w:jc w:val="left"/>
        <w:textAlignment w:val="baseline"/>
      </w:pPr>
      <w:r w:rsidRPr="00DF1FE5">
        <w:t>State Bar No. 24120829</w:t>
      </w:r>
    </w:p>
    <w:p w14:paraId="3B742524" w14:textId="474F78EB" w:rsidR="006A7126" w:rsidRDefault="006A7126" w:rsidP="00DF1FE5">
      <w:pPr>
        <w:keepNext/>
        <w:overflowPunct w:val="0"/>
        <w:autoSpaceDE w:val="0"/>
        <w:autoSpaceDN w:val="0"/>
        <w:adjustRightInd w:val="0"/>
        <w:spacing w:after="0" w:line="240" w:lineRule="auto"/>
        <w:ind w:left="4320" w:firstLine="0"/>
        <w:jc w:val="left"/>
        <w:textAlignment w:val="baseline"/>
      </w:pPr>
      <w:r>
        <w:t>Ian Groetsch</w:t>
      </w:r>
    </w:p>
    <w:p w14:paraId="4EDEB606" w14:textId="2F205628" w:rsidR="006A7126" w:rsidRPr="00DF1FE5" w:rsidRDefault="006A7126" w:rsidP="00DF1FE5">
      <w:pPr>
        <w:keepNext/>
        <w:overflowPunct w:val="0"/>
        <w:autoSpaceDE w:val="0"/>
        <w:autoSpaceDN w:val="0"/>
        <w:adjustRightInd w:val="0"/>
        <w:spacing w:after="0" w:line="240" w:lineRule="auto"/>
        <w:ind w:left="4320" w:firstLine="0"/>
        <w:jc w:val="left"/>
        <w:textAlignment w:val="baseline"/>
      </w:pPr>
      <w:r>
        <w:t>State Bar No. 24078599</w:t>
      </w:r>
    </w:p>
    <w:p w14:paraId="3B3C0551"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1701 N. Congress Avenue</w:t>
      </w:r>
    </w:p>
    <w:p w14:paraId="08A4CABF"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P.O. Box 13326</w:t>
      </w:r>
    </w:p>
    <w:p w14:paraId="3502BE74"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Austin, Texas 78711-3326</w:t>
      </w:r>
    </w:p>
    <w:p w14:paraId="45514367"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(512) 936-7021</w:t>
      </w:r>
    </w:p>
    <w:p w14:paraId="5993A966"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(512) 936-7268 (facsimile)</w:t>
      </w:r>
    </w:p>
    <w:p w14:paraId="10D685E0"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Margaux.Fox@puc.texas.gov</w:t>
      </w:r>
    </w:p>
    <w:bookmarkEnd w:id="4"/>
    <w:p w14:paraId="10DA915C" w14:textId="77777777" w:rsidR="00B50F0E" w:rsidRDefault="00B50F0E" w:rsidP="00B50F0E">
      <w:pPr>
        <w:pStyle w:val="Paragraph"/>
        <w:ind w:firstLine="0"/>
      </w:pPr>
    </w:p>
    <w:p w14:paraId="2C0725A1" w14:textId="77777777" w:rsidR="0059201D" w:rsidRPr="0051021C" w:rsidRDefault="0059201D" w:rsidP="00BB5A8B">
      <w:pPr>
        <w:pStyle w:val="Paragraph"/>
        <w:ind w:firstLine="0"/>
      </w:pPr>
    </w:p>
    <w:p w14:paraId="293B559A" w14:textId="77777777" w:rsidR="002720F6" w:rsidRPr="00702788" w:rsidRDefault="00B5746B" w:rsidP="00092070">
      <w:pPr>
        <w:pStyle w:val="CaseCaption"/>
        <w:contextualSpacing w:val="0"/>
        <w:rPr>
          <w:bCs/>
        </w:rPr>
      </w:pPr>
      <w:r w:rsidRPr="007E3A22">
        <w:rPr>
          <w:bCs/>
        </w:rPr>
        <w:lastRenderedPageBreak/>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A0628E" w:rsidRPr="00EF7381">
        <w:t>Docket</w:t>
      </w:r>
      <w:r w:rsidR="00A0628E" w:rsidRPr="00D92C94">
        <w:t xml:space="preserve"> No</w:t>
      </w:r>
      <w:r w:rsidR="00A0628E" w:rsidRPr="008647EB">
        <w:t>.</w:t>
      </w:r>
      <w:r w:rsidR="00A0628E">
        <w:t xml:space="preserve"> 54019</w:t>
      </w:r>
      <w:r w:rsidR="00A0628E" w:rsidRPr="00A0628E">
        <w:rPr>
          <w:rStyle w:val="PlaceholderText"/>
        </w:rPr>
        <w:t xml:space="preserve"> </w:t>
      </w:r>
      <w:r w:rsidRPr="007E3A22">
        <w:rPr>
          <w:bCs/>
        </w:rPr>
        <w:fldChar w:fldCharType="end"/>
      </w:r>
    </w:p>
    <w:p w14:paraId="644FACB1" w14:textId="77777777" w:rsidR="00DA790F" w:rsidRPr="008647EB" w:rsidRDefault="00DA790F" w:rsidP="00092070">
      <w:pPr>
        <w:pStyle w:val="CaseCaption"/>
      </w:pPr>
      <w:r w:rsidRPr="008647EB">
        <w:t>CERTIFICATE OF SERVICE</w:t>
      </w:r>
    </w:p>
    <w:p w14:paraId="5FA0E188" w14:textId="54EAAAB4"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772588">
        <w:rPr>
          <w:noProof/>
        </w:rPr>
        <w:t>August 24, 2023</w:t>
      </w:r>
      <w:r w:rsidR="006079C2">
        <w:fldChar w:fldCharType="end"/>
      </w:r>
      <w:r w:rsidR="006079C2">
        <w:t xml:space="preserve"> </w:t>
      </w:r>
      <w:r w:rsidRPr="00893EAC">
        <w:t xml:space="preserve">in accordance with the </w:t>
      </w:r>
      <w:r>
        <w:t xml:space="preserve">Second </w:t>
      </w:r>
      <w:r w:rsidRPr="00893EAC">
        <w:t xml:space="preserve">Order Suspending Rules, </w:t>
      </w:r>
      <w:r w:rsidR="007462E5">
        <w:t>filed</w:t>
      </w:r>
      <w:r w:rsidRPr="00893EAC">
        <w:t xml:space="preserve"> in Project No. 50664.</w:t>
      </w:r>
      <w:r w:rsidR="00C4658E">
        <w:t xml:space="preserve"> </w:t>
      </w:r>
    </w:p>
    <w:p w14:paraId="39F91970" w14:textId="77777777" w:rsidR="00B50F0E" w:rsidRPr="008647EB" w:rsidRDefault="00B50F0E" w:rsidP="00553B64">
      <w:pPr>
        <w:pStyle w:val="Paragraph"/>
        <w:keepNext/>
        <w:keepLines/>
      </w:pPr>
    </w:p>
    <w:p w14:paraId="2451C145" w14:textId="77777777" w:rsidR="00B50F0E" w:rsidRPr="008E575C" w:rsidRDefault="00B50F0E" w:rsidP="00B50F0E">
      <w:pPr>
        <w:keepNext/>
        <w:spacing w:after="0" w:line="240" w:lineRule="auto"/>
        <w:ind w:left="4320" w:firstLine="0"/>
        <w:rPr>
          <w:u w:val="single"/>
        </w:rPr>
      </w:pPr>
      <w:r w:rsidRPr="008E575C">
        <w:rPr>
          <w:u w:val="single"/>
        </w:rPr>
        <w:t xml:space="preserve">  /s/ </w:t>
      </w:r>
      <w:r w:rsidR="00DF1FE5">
        <w:rPr>
          <w:u w:val="single"/>
        </w:rPr>
        <w:t>Margaux Fox</w:t>
      </w:r>
      <w:r w:rsidRPr="008E575C">
        <w:rPr>
          <w:u w:val="single"/>
        </w:rPr>
        <w:tab/>
      </w:r>
      <w:r w:rsidRPr="008E575C">
        <w:rPr>
          <w:u w:val="single"/>
        </w:rPr>
        <w:tab/>
      </w:r>
    </w:p>
    <w:p w14:paraId="6F7036E6" w14:textId="77777777" w:rsidR="00B50F0E" w:rsidRPr="008E575C" w:rsidRDefault="00DF1FE5" w:rsidP="00B50F0E">
      <w:pPr>
        <w:keepNext/>
        <w:spacing w:after="0" w:line="240" w:lineRule="auto"/>
        <w:ind w:left="4320" w:firstLine="0"/>
      </w:pPr>
      <w:r>
        <w:t>Margaux Fox</w:t>
      </w:r>
    </w:p>
    <w:p w14:paraId="3EF716A8"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51D5C" w14:textId="77777777" w:rsidR="00A0628E" w:rsidRDefault="00A0628E">
      <w:pPr>
        <w:spacing w:after="0" w:line="240" w:lineRule="auto"/>
      </w:pPr>
      <w:r>
        <w:separator/>
      </w:r>
    </w:p>
  </w:endnote>
  <w:endnote w:type="continuationSeparator" w:id="0">
    <w:p w14:paraId="6161331D" w14:textId="77777777" w:rsidR="00A0628E" w:rsidRDefault="00A06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4CA0B"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757E8F5" w14:textId="77777777" w:rsidR="00071BFA" w:rsidRDefault="00071BFA" w:rsidP="008016FB">
    <w:pPr>
      <w:pStyle w:val="Footer"/>
    </w:pPr>
  </w:p>
  <w:p w14:paraId="7290B420" w14:textId="77777777" w:rsidR="00071BFA" w:rsidRDefault="00071BFA" w:rsidP="008016FB"/>
  <w:p w14:paraId="345B2783"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68E1B" w14:textId="77777777" w:rsidR="00A0628E" w:rsidRDefault="00A0628E">
      <w:pPr>
        <w:spacing w:after="0" w:line="240" w:lineRule="auto"/>
      </w:pPr>
      <w:r>
        <w:separator/>
      </w:r>
    </w:p>
  </w:footnote>
  <w:footnote w:type="continuationSeparator" w:id="0">
    <w:p w14:paraId="4CCC4437" w14:textId="77777777" w:rsidR="00A0628E" w:rsidRDefault="00A0628E">
      <w:pPr>
        <w:spacing w:after="0" w:line="240" w:lineRule="auto"/>
      </w:pPr>
      <w:r>
        <w:continuationSeparator/>
      </w:r>
    </w:p>
  </w:footnote>
  <w:footnote w:type="continuationNotice" w:id="1">
    <w:p w14:paraId="686DB920" w14:textId="77777777" w:rsidR="00A0628E" w:rsidRDefault="00A0628E">
      <w:pPr>
        <w:spacing w:after="0" w:line="240" w:lineRule="auto"/>
      </w:pPr>
    </w:p>
  </w:footnote>
  <w:footnote w:id="2">
    <w:p w14:paraId="50AFC66F" w14:textId="0614D3D2" w:rsidR="00E307C2" w:rsidRDefault="00E307C2">
      <w:pPr>
        <w:pStyle w:val="FootnoteText"/>
      </w:pPr>
      <w:r>
        <w:rPr>
          <w:rStyle w:val="FootnoteReference"/>
        </w:rPr>
        <w:footnoteRef/>
      </w:r>
      <w:r>
        <w:t xml:space="preserve">  CSWR-Texas’s Supplemental and Corrected Response to Order No. 8 at 1 (Jul. 28,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6B2CA"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637488647">
    <w:abstractNumId w:val="10"/>
  </w:num>
  <w:num w:numId="2" w16cid:durableId="542332520">
    <w:abstractNumId w:val="24"/>
  </w:num>
  <w:num w:numId="3" w16cid:durableId="96482191">
    <w:abstractNumId w:val="15"/>
  </w:num>
  <w:num w:numId="4" w16cid:durableId="106317342">
    <w:abstractNumId w:val="12"/>
  </w:num>
  <w:num w:numId="5" w16cid:durableId="1091927028">
    <w:abstractNumId w:val="23"/>
  </w:num>
  <w:num w:numId="6" w16cid:durableId="1115098167">
    <w:abstractNumId w:val="22"/>
  </w:num>
  <w:num w:numId="7" w16cid:durableId="392168237">
    <w:abstractNumId w:val="16"/>
  </w:num>
  <w:num w:numId="8" w16cid:durableId="1222713766">
    <w:abstractNumId w:val="17"/>
  </w:num>
  <w:num w:numId="9" w16cid:durableId="553585310">
    <w:abstractNumId w:val="20"/>
  </w:num>
  <w:num w:numId="10" w16cid:durableId="2062558129">
    <w:abstractNumId w:val="21"/>
  </w:num>
  <w:num w:numId="11" w16cid:durableId="1454595725">
    <w:abstractNumId w:val="13"/>
  </w:num>
  <w:num w:numId="12" w16cid:durableId="1146506797">
    <w:abstractNumId w:val="19"/>
  </w:num>
  <w:num w:numId="13" w16cid:durableId="1801068179">
    <w:abstractNumId w:val="9"/>
  </w:num>
  <w:num w:numId="14" w16cid:durableId="925380444">
    <w:abstractNumId w:val="7"/>
  </w:num>
  <w:num w:numId="15" w16cid:durableId="174657587">
    <w:abstractNumId w:val="6"/>
  </w:num>
  <w:num w:numId="16" w16cid:durableId="1153982865">
    <w:abstractNumId w:val="5"/>
  </w:num>
  <w:num w:numId="17" w16cid:durableId="63572231">
    <w:abstractNumId w:val="4"/>
  </w:num>
  <w:num w:numId="18" w16cid:durableId="495270838">
    <w:abstractNumId w:val="8"/>
  </w:num>
  <w:num w:numId="19" w16cid:durableId="1048994791">
    <w:abstractNumId w:val="3"/>
  </w:num>
  <w:num w:numId="20" w16cid:durableId="1698581145">
    <w:abstractNumId w:val="2"/>
  </w:num>
  <w:num w:numId="21" w16cid:durableId="1411735769">
    <w:abstractNumId w:val="1"/>
  </w:num>
  <w:num w:numId="22" w16cid:durableId="1244222046">
    <w:abstractNumId w:val="0"/>
  </w:num>
  <w:num w:numId="23" w16cid:durableId="1073699800">
    <w:abstractNumId w:val="11"/>
  </w:num>
  <w:num w:numId="24" w16cid:durableId="1762138021">
    <w:abstractNumId w:val="14"/>
  </w:num>
  <w:num w:numId="25" w16cid:durableId="115946385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28E"/>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354A"/>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26B6"/>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1E99"/>
    <w:rsid w:val="003A2B88"/>
    <w:rsid w:val="003A338C"/>
    <w:rsid w:val="003A53E1"/>
    <w:rsid w:val="003A5DE7"/>
    <w:rsid w:val="003A74EA"/>
    <w:rsid w:val="003B057D"/>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0D55"/>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471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0912"/>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3759"/>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3EE2"/>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A7126"/>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2E5"/>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588"/>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261C8"/>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628E"/>
    <w:rsid w:val="00A0741C"/>
    <w:rsid w:val="00A1058B"/>
    <w:rsid w:val="00A1461F"/>
    <w:rsid w:val="00A1685B"/>
    <w:rsid w:val="00A20D13"/>
    <w:rsid w:val="00A25538"/>
    <w:rsid w:val="00A265AF"/>
    <w:rsid w:val="00A26D1E"/>
    <w:rsid w:val="00A307DF"/>
    <w:rsid w:val="00A30819"/>
    <w:rsid w:val="00A31228"/>
    <w:rsid w:val="00A3140C"/>
    <w:rsid w:val="00A32388"/>
    <w:rsid w:val="00A3333B"/>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574F4"/>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577B0"/>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A8B"/>
    <w:rsid w:val="00BB6E21"/>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49F4"/>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3796"/>
    <w:rsid w:val="00D75428"/>
    <w:rsid w:val="00D75599"/>
    <w:rsid w:val="00D80404"/>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1FE5"/>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07C2"/>
    <w:rsid w:val="00E35B5D"/>
    <w:rsid w:val="00E36398"/>
    <w:rsid w:val="00E363C9"/>
    <w:rsid w:val="00E419D0"/>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D5BFA"/>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AD64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footnote text" w:uiPriority="99"/>
    <w:lsdException w:name="footnote reference"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uiPriority w:val="99"/>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uiPriority w:val="99"/>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uiPriority w:val="99"/>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Revision">
    <w:name w:val="Revision"/>
    <w:hidden/>
    <w:uiPriority w:val="99"/>
    <w:semiHidden/>
    <w:rsid w:val="003A5DE7"/>
    <w:rPr>
      <w:sz w:val="24"/>
      <w:szCs w:val="24"/>
    </w:rPr>
  </w:style>
  <w:style w:type="character" w:styleId="CommentReference">
    <w:name w:val="annotation reference"/>
    <w:basedOn w:val="DefaultParagraphFont"/>
    <w:rsid w:val="003A5DE7"/>
    <w:rPr>
      <w:sz w:val="16"/>
      <w:szCs w:val="16"/>
    </w:rPr>
  </w:style>
  <w:style w:type="paragraph" w:styleId="CommentText">
    <w:name w:val="annotation text"/>
    <w:basedOn w:val="Normal"/>
    <w:link w:val="CommentTextChar"/>
    <w:rsid w:val="003A5DE7"/>
    <w:pPr>
      <w:spacing w:line="240" w:lineRule="auto"/>
    </w:pPr>
    <w:rPr>
      <w:sz w:val="20"/>
      <w:szCs w:val="20"/>
    </w:rPr>
  </w:style>
  <w:style w:type="character" w:customStyle="1" w:styleId="CommentTextChar">
    <w:name w:val="Comment Text Char"/>
    <w:basedOn w:val="DefaultParagraphFont"/>
    <w:link w:val="CommentText"/>
    <w:rsid w:val="003A5DE7"/>
  </w:style>
  <w:style w:type="paragraph" w:styleId="CommentSubject">
    <w:name w:val="annotation subject"/>
    <w:basedOn w:val="CommentText"/>
    <w:next w:val="CommentText"/>
    <w:link w:val="CommentSubjectChar"/>
    <w:rsid w:val="003A5DE7"/>
    <w:rPr>
      <w:b/>
      <w:bCs/>
    </w:rPr>
  </w:style>
  <w:style w:type="character" w:customStyle="1" w:styleId="CommentSubjectChar">
    <w:name w:val="Comment Subject Char"/>
    <w:basedOn w:val="CommentTextChar"/>
    <w:link w:val="CommentSubject"/>
    <w:rsid w:val="003A5D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5C7D6E5481D431E902ED8BCEAD0E8EC"/>
        <w:category>
          <w:name w:val="General"/>
          <w:gallery w:val="placeholder"/>
        </w:category>
        <w:types>
          <w:type w:val="bbPlcHdr"/>
        </w:types>
        <w:behaviors>
          <w:behavior w:val="content"/>
        </w:behaviors>
        <w:guid w:val="{FE2BCED5-CD1A-4CB5-B1EE-DB301DC36910}"/>
      </w:docPartPr>
      <w:docPartBody>
        <w:p w:rsidR="00545E85" w:rsidRDefault="000D6EAA">
          <w:pPr>
            <w:pStyle w:val="A5C7D6E5481D431E902ED8BCEAD0E8EC"/>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EAA"/>
    <w:rsid w:val="000D6EAA"/>
    <w:rsid w:val="00545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EAA"/>
    <w:rPr>
      <w:color w:val="808080"/>
    </w:rPr>
  </w:style>
  <w:style w:type="paragraph" w:customStyle="1" w:styleId="A5C7D6E5481D431E902ED8BCEAD0E8EC">
    <w:name w:val="A5C7D6E5481D431E902ED8BCEAD0E8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1135</Words>
  <Characters>6478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2023-08-24T17:13:00Z</dcterms:created>
  <dcterms:modified xsi:type="dcterms:W3CDTF">2023-08-24T17:14:00Z</dcterms:modified>
</cp:coreProperties>
</file>